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039C4F65"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7BBB6C32" w:rsidR="00134189" w:rsidRPr="00134189" w:rsidRDefault="0018693F" w:rsidP="007A6672">
      <w:pPr>
        <w:ind w:firstLine="567"/>
        <w:jc w:val="both"/>
        <w:rPr>
          <w:rFonts w:eastAsia="Calibri"/>
          <w:b/>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BC7D7F">
        <w:rPr>
          <w:rFonts w:eastAsia="Calibri"/>
          <w:b/>
        </w:rPr>
        <w:t>……………….</w:t>
      </w:r>
      <w:r w:rsidR="00134189" w:rsidRPr="00134189">
        <w:rPr>
          <w:rFonts w:eastAsia="Calibri"/>
          <w:b/>
        </w:rPr>
        <w:t xml:space="preserve">, </w:t>
      </w:r>
    </w:p>
    <w:p w14:paraId="5675F93C" w14:textId="77777777" w:rsidR="00134189" w:rsidRPr="00134189" w:rsidRDefault="00134189" w:rsidP="00134189">
      <w:pPr>
        <w:ind w:firstLine="720"/>
        <w:jc w:val="both"/>
        <w:rPr>
          <w:rFonts w:eastAsia="Calibri"/>
          <w:b/>
        </w:rPr>
      </w:pPr>
    </w:p>
    <w:p w14:paraId="5DC40866" w14:textId="1410A3B9" w:rsidR="00134189" w:rsidRPr="00BF475E" w:rsidRDefault="000E2E28" w:rsidP="00710E07">
      <w:pPr>
        <w:ind w:firstLine="720"/>
        <w:jc w:val="both"/>
      </w:pPr>
      <w:sdt>
        <w:sdtPr>
          <w:rPr>
            <w:rFonts w:eastAsia="Calibri"/>
            <w:b/>
            <w:lang w:val="en-US"/>
          </w:rPr>
          <w:id w:val="809747458"/>
          <w14:checkbox>
            <w14:checked w14:val="0"/>
            <w14:checkedState w14:val="2612" w14:font="MS Gothic"/>
            <w14:uncheckedState w14:val="2610" w14:font="MS Gothic"/>
          </w14:checkbox>
        </w:sdtPr>
        <w:sdtEndPr/>
        <w:sdtContent/>
      </w:sdt>
      <w:r w:rsidR="00134189" w:rsidRPr="00BF475E">
        <w:rPr>
          <w:rFonts w:eastAsia="Calibri"/>
          <w:b/>
          <w:lang w:val="en-US"/>
        </w:rPr>
        <w:t xml:space="preserve"> </w:t>
      </w:r>
    </w:p>
    <w:p w14:paraId="131D29D3" w14:textId="73CE029D" w:rsidR="007A6672" w:rsidRPr="007A6672" w:rsidRDefault="007A6672" w:rsidP="007A6672">
      <w:pPr>
        <w:widowControl w:val="0"/>
        <w:autoSpaceDE w:val="0"/>
        <w:autoSpaceDN w:val="0"/>
        <w:adjustRightInd w:val="0"/>
        <w:ind w:firstLine="708"/>
        <w:jc w:val="both"/>
      </w:pPr>
      <w:r>
        <w:rPr>
          <w:b/>
        </w:rPr>
        <w:t>2</w:t>
      </w:r>
      <w:r w:rsidRPr="007A6672">
        <w:rPr>
          <w:b/>
        </w:rPr>
        <w:t>.</w:t>
      </w:r>
      <w:r w:rsidRPr="007A6672">
        <w:t xml:space="preserve"> Следните застрахователни суми и застрахователни премии общо по видове застраховки</w:t>
      </w:r>
      <w:r>
        <w:t xml:space="preserve"> са</w:t>
      </w:r>
      <w:r w:rsidRPr="007A6672">
        <w:t xml:space="preserve"> както следва:</w:t>
      </w:r>
    </w:p>
    <w:p w14:paraId="60DA4AC2" w14:textId="77777777" w:rsidR="007A6672" w:rsidRPr="007A6672" w:rsidRDefault="007A6672" w:rsidP="007A6672">
      <w:pPr>
        <w:widowControl w:val="0"/>
        <w:autoSpaceDE w:val="0"/>
        <w:autoSpaceDN w:val="0"/>
        <w:adjustRightInd w:val="0"/>
        <w:jc w:val="both"/>
      </w:pPr>
    </w:p>
    <w:tbl>
      <w:tblPr>
        <w:tblW w:w="9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5103"/>
        <w:gridCol w:w="1371"/>
        <w:gridCol w:w="1373"/>
        <w:gridCol w:w="1331"/>
      </w:tblGrid>
      <w:tr w:rsidR="007A6672" w:rsidRPr="007A6672" w14:paraId="299D51FC" w14:textId="77777777" w:rsidTr="007A6672">
        <w:trPr>
          <w:trHeight w:val="1081"/>
        </w:trPr>
        <w:tc>
          <w:tcPr>
            <w:tcW w:w="464" w:type="dxa"/>
            <w:vAlign w:val="center"/>
          </w:tcPr>
          <w:p w14:paraId="3172DCC7" w14:textId="77777777" w:rsidR="007A6672" w:rsidRPr="007A6672" w:rsidRDefault="007A6672" w:rsidP="007A6672">
            <w:pPr>
              <w:widowControl w:val="0"/>
              <w:autoSpaceDE w:val="0"/>
              <w:autoSpaceDN w:val="0"/>
              <w:adjustRightInd w:val="0"/>
              <w:jc w:val="center"/>
              <w:rPr>
                <w:b/>
                <w:bCs/>
              </w:rPr>
            </w:pPr>
            <w:r w:rsidRPr="007A6672">
              <w:rPr>
                <w:b/>
                <w:bCs/>
              </w:rPr>
              <w:t>№</w:t>
            </w:r>
          </w:p>
        </w:tc>
        <w:tc>
          <w:tcPr>
            <w:tcW w:w="5103" w:type="dxa"/>
            <w:vAlign w:val="center"/>
          </w:tcPr>
          <w:p w14:paraId="1E8C9224" w14:textId="77777777" w:rsidR="007A6672" w:rsidRPr="007A6672" w:rsidRDefault="007A6672" w:rsidP="007A6672">
            <w:pPr>
              <w:widowControl w:val="0"/>
              <w:autoSpaceDE w:val="0"/>
              <w:autoSpaceDN w:val="0"/>
              <w:adjustRightInd w:val="0"/>
              <w:jc w:val="center"/>
              <w:rPr>
                <w:b/>
                <w:bCs/>
              </w:rPr>
            </w:pPr>
            <w:r w:rsidRPr="007A6672">
              <w:rPr>
                <w:b/>
                <w:bCs/>
              </w:rPr>
              <w:t>Застраховка</w:t>
            </w:r>
          </w:p>
        </w:tc>
        <w:tc>
          <w:tcPr>
            <w:tcW w:w="1371" w:type="dxa"/>
            <w:vAlign w:val="center"/>
          </w:tcPr>
          <w:p w14:paraId="11CF2C5F" w14:textId="77777777" w:rsidR="007A6672" w:rsidRPr="007A6672" w:rsidRDefault="007A6672" w:rsidP="007A6672">
            <w:pPr>
              <w:widowControl w:val="0"/>
              <w:autoSpaceDE w:val="0"/>
              <w:autoSpaceDN w:val="0"/>
              <w:adjustRightInd w:val="0"/>
              <w:jc w:val="center"/>
              <w:rPr>
                <w:b/>
                <w:bCs/>
              </w:rPr>
            </w:pPr>
          </w:p>
          <w:p w14:paraId="53E60251" w14:textId="77777777" w:rsidR="007A6672" w:rsidRPr="007A6672" w:rsidRDefault="007A6672" w:rsidP="007A6672">
            <w:pPr>
              <w:widowControl w:val="0"/>
              <w:autoSpaceDE w:val="0"/>
              <w:autoSpaceDN w:val="0"/>
              <w:adjustRightInd w:val="0"/>
              <w:jc w:val="center"/>
              <w:rPr>
                <w:b/>
                <w:bCs/>
              </w:rPr>
            </w:pPr>
            <w:r w:rsidRPr="007A6672">
              <w:rPr>
                <w:b/>
                <w:bCs/>
              </w:rPr>
              <w:t>Обща застрахователна премия без вкл. ДЗП</w:t>
            </w:r>
          </w:p>
          <w:p w14:paraId="39F3B40B" w14:textId="77777777" w:rsidR="007A6672" w:rsidRPr="007A6672" w:rsidRDefault="007A6672" w:rsidP="007A6672">
            <w:pPr>
              <w:widowControl w:val="0"/>
              <w:autoSpaceDE w:val="0"/>
              <w:autoSpaceDN w:val="0"/>
              <w:adjustRightInd w:val="0"/>
              <w:jc w:val="center"/>
              <w:rPr>
                <w:b/>
                <w:bCs/>
              </w:rPr>
            </w:pPr>
          </w:p>
        </w:tc>
        <w:tc>
          <w:tcPr>
            <w:tcW w:w="1373" w:type="dxa"/>
            <w:vAlign w:val="center"/>
          </w:tcPr>
          <w:p w14:paraId="554EE2EF" w14:textId="77777777" w:rsidR="007A6672" w:rsidRPr="007A6672" w:rsidRDefault="007A6672" w:rsidP="007A6672">
            <w:pPr>
              <w:widowControl w:val="0"/>
              <w:autoSpaceDE w:val="0"/>
              <w:autoSpaceDN w:val="0"/>
              <w:adjustRightInd w:val="0"/>
              <w:jc w:val="center"/>
              <w:rPr>
                <w:b/>
                <w:bCs/>
              </w:rPr>
            </w:pPr>
            <w:r w:rsidRPr="007A6672">
              <w:rPr>
                <w:b/>
                <w:bCs/>
              </w:rPr>
              <w:t>Данък 2 %</w:t>
            </w:r>
          </w:p>
          <w:p w14:paraId="4E64DBF7" w14:textId="77777777" w:rsidR="007A6672" w:rsidRPr="007A6672" w:rsidRDefault="007A6672" w:rsidP="007A6672">
            <w:pPr>
              <w:widowControl w:val="0"/>
              <w:autoSpaceDE w:val="0"/>
              <w:autoSpaceDN w:val="0"/>
              <w:adjustRightInd w:val="0"/>
              <w:jc w:val="center"/>
              <w:rPr>
                <w:b/>
                <w:bCs/>
              </w:rPr>
            </w:pPr>
          </w:p>
        </w:tc>
        <w:tc>
          <w:tcPr>
            <w:tcW w:w="1331" w:type="dxa"/>
          </w:tcPr>
          <w:p w14:paraId="0E577736" w14:textId="77777777" w:rsidR="007A6672" w:rsidRPr="007A6672" w:rsidRDefault="007A6672" w:rsidP="007A6672">
            <w:pPr>
              <w:widowControl w:val="0"/>
              <w:autoSpaceDE w:val="0"/>
              <w:autoSpaceDN w:val="0"/>
              <w:adjustRightInd w:val="0"/>
              <w:jc w:val="center"/>
              <w:rPr>
                <w:b/>
                <w:bCs/>
              </w:rPr>
            </w:pPr>
          </w:p>
          <w:p w14:paraId="4C851C59" w14:textId="77777777" w:rsidR="007A6672" w:rsidRPr="007A6672" w:rsidRDefault="007A6672" w:rsidP="007A6672">
            <w:pPr>
              <w:widowControl w:val="0"/>
              <w:autoSpaceDE w:val="0"/>
              <w:autoSpaceDN w:val="0"/>
              <w:adjustRightInd w:val="0"/>
              <w:jc w:val="center"/>
              <w:rPr>
                <w:b/>
                <w:bCs/>
              </w:rPr>
            </w:pPr>
            <w:r w:rsidRPr="007A6672">
              <w:rPr>
                <w:b/>
                <w:bCs/>
              </w:rPr>
              <w:t xml:space="preserve">Общо дължима сума </w:t>
            </w:r>
          </w:p>
        </w:tc>
      </w:tr>
      <w:tr w:rsidR="007A6672" w:rsidRPr="007A6672" w14:paraId="26EAB38A" w14:textId="77777777" w:rsidTr="007A6672">
        <w:trPr>
          <w:trHeight w:val="560"/>
        </w:trPr>
        <w:tc>
          <w:tcPr>
            <w:tcW w:w="464" w:type="dxa"/>
            <w:vAlign w:val="center"/>
          </w:tcPr>
          <w:p w14:paraId="135EE73F" w14:textId="77777777" w:rsidR="007A6672" w:rsidRPr="007A6672" w:rsidRDefault="007A6672" w:rsidP="007A6672">
            <w:pPr>
              <w:widowControl w:val="0"/>
              <w:autoSpaceDE w:val="0"/>
              <w:autoSpaceDN w:val="0"/>
              <w:adjustRightInd w:val="0"/>
              <w:jc w:val="center"/>
            </w:pPr>
            <w:r w:rsidRPr="007A6672">
              <w:t>1</w:t>
            </w:r>
          </w:p>
        </w:tc>
        <w:tc>
          <w:tcPr>
            <w:tcW w:w="5103" w:type="dxa"/>
            <w:vAlign w:val="center"/>
          </w:tcPr>
          <w:p w14:paraId="3ADA264B" w14:textId="34737A79" w:rsidR="007A6672" w:rsidRPr="007A6672" w:rsidRDefault="007A6672" w:rsidP="007A6672">
            <w:pPr>
              <w:widowControl w:val="0"/>
              <w:autoSpaceDE w:val="0"/>
              <w:autoSpaceDN w:val="0"/>
              <w:adjustRightInd w:val="0"/>
              <w:jc w:val="center"/>
            </w:pPr>
          </w:p>
        </w:tc>
        <w:tc>
          <w:tcPr>
            <w:tcW w:w="1371" w:type="dxa"/>
            <w:vAlign w:val="center"/>
          </w:tcPr>
          <w:p w14:paraId="5DFBCCE2" w14:textId="77777777" w:rsidR="007A6672" w:rsidRPr="007A6672" w:rsidRDefault="007A6672" w:rsidP="007A6672">
            <w:pPr>
              <w:widowControl w:val="0"/>
              <w:autoSpaceDE w:val="0"/>
              <w:autoSpaceDN w:val="0"/>
              <w:adjustRightInd w:val="0"/>
              <w:jc w:val="center"/>
            </w:pPr>
          </w:p>
        </w:tc>
        <w:tc>
          <w:tcPr>
            <w:tcW w:w="1373" w:type="dxa"/>
            <w:vAlign w:val="center"/>
          </w:tcPr>
          <w:p w14:paraId="1FEFD870" w14:textId="77777777" w:rsidR="007A6672" w:rsidRPr="007A6672" w:rsidRDefault="007A6672" w:rsidP="007A6672">
            <w:pPr>
              <w:widowControl w:val="0"/>
              <w:autoSpaceDE w:val="0"/>
              <w:autoSpaceDN w:val="0"/>
              <w:adjustRightInd w:val="0"/>
              <w:jc w:val="center"/>
            </w:pPr>
          </w:p>
        </w:tc>
        <w:tc>
          <w:tcPr>
            <w:tcW w:w="1331" w:type="dxa"/>
          </w:tcPr>
          <w:p w14:paraId="4F4F0E76" w14:textId="77777777" w:rsidR="007A6672" w:rsidRPr="007A6672" w:rsidRDefault="007A6672" w:rsidP="007A6672">
            <w:pPr>
              <w:widowControl w:val="0"/>
              <w:autoSpaceDE w:val="0"/>
              <w:autoSpaceDN w:val="0"/>
              <w:adjustRightInd w:val="0"/>
              <w:jc w:val="both"/>
            </w:pPr>
          </w:p>
        </w:tc>
      </w:tr>
    </w:tbl>
    <w:p w14:paraId="30CDCDC7" w14:textId="77777777" w:rsidR="00C36FD9" w:rsidRPr="0018693F" w:rsidRDefault="00C36FD9" w:rsidP="0018693F">
      <w:pPr>
        <w:pStyle w:val="af0"/>
        <w:spacing w:line="276" w:lineRule="auto"/>
        <w:ind w:left="0" w:firstLine="567"/>
        <w:jc w:val="both"/>
        <w:rPr>
          <w:rFonts w:ascii="Times New Roman" w:eastAsia="Times New Roman" w:hAnsi="Times New Roman"/>
          <w:sz w:val="24"/>
          <w:szCs w:val="24"/>
          <w:lang w:val="bg-BG" w:eastAsia="bg-BG"/>
        </w:rPr>
      </w:pPr>
    </w:p>
    <w:p w14:paraId="7279C160" w14:textId="0EDFB94E" w:rsidR="00132BDC" w:rsidRDefault="0008007C" w:rsidP="0008007C">
      <w:pPr>
        <w:tabs>
          <w:tab w:val="left" w:pos="0"/>
        </w:tabs>
        <w:spacing w:after="120" w:line="276" w:lineRule="auto"/>
        <w:jc w:val="both"/>
        <w:rPr>
          <w:lang w:val="en-US"/>
        </w:rPr>
      </w:pPr>
      <w:r>
        <w:rPr>
          <w:lang w:val="be-BY"/>
        </w:rPr>
        <w:t xml:space="preserve">         </w:t>
      </w:r>
      <w:r w:rsidR="007A6672">
        <w:rPr>
          <w:lang w:val="be-BY"/>
        </w:rPr>
        <w:t>3</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4DC39B27" w14:textId="3CBE7BAB"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729B3326" w14:textId="47062573" w:rsidR="00B46FD6" w:rsidRDefault="00B46FD6" w:rsidP="003E24AF">
      <w:pPr>
        <w:ind w:firstLine="567"/>
        <w:jc w:val="both"/>
        <w:rPr>
          <w:lang w:eastAsia="en-US"/>
        </w:rPr>
      </w:pPr>
    </w:p>
    <w:p w14:paraId="7813E980" w14:textId="77777777" w:rsidR="00B46FD6" w:rsidRDefault="00B46FD6" w:rsidP="00B46FD6">
      <w:pPr>
        <w:ind w:firstLine="567"/>
        <w:jc w:val="both"/>
        <w:rPr>
          <w:lang w:eastAsia="en-US"/>
        </w:rPr>
      </w:pPr>
      <w:r w:rsidRPr="004E473A">
        <w:rPr>
          <w:b/>
          <w:bCs/>
          <w:lang w:eastAsia="en-US"/>
        </w:rPr>
        <w:t>Приложение:</w:t>
      </w:r>
      <w:r>
        <w:rPr>
          <w:lang w:eastAsia="en-US"/>
        </w:rPr>
        <w:t xml:space="preserve"> Проект на Застрахователна полица с включени: </w:t>
      </w:r>
    </w:p>
    <w:p w14:paraId="1AA8BAF7" w14:textId="77777777" w:rsidR="00207337" w:rsidRDefault="00207337" w:rsidP="00207337">
      <w:pPr>
        <w:widowControl w:val="0"/>
        <w:numPr>
          <w:ilvl w:val="0"/>
          <w:numId w:val="13"/>
        </w:numPr>
        <w:tabs>
          <w:tab w:val="left" w:pos="1463"/>
        </w:tabs>
        <w:spacing w:line="292" w:lineRule="exact"/>
        <w:ind w:left="1120"/>
        <w:jc w:val="both"/>
        <w:rPr>
          <w:color w:val="000000"/>
          <w:lang w:bidi="bg-BG"/>
        </w:rPr>
      </w:pPr>
      <w:r w:rsidRPr="00207337">
        <w:rPr>
          <w:color w:val="000000"/>
          <w:lang w:bidi="bg-BG"/>
        </w:rPr>
        <w:t xml:space="preserve">покрити рискове; </w:t>
      </w:r>
    </w:p>
    <w:p w14:paraId="21552761" w14:textId="476C23DD" w:rsidR="00207337" w:rsidRPr="00207337" w:rsidRDefault="00207337" w:rsidP="00207337">
      <w:pPr>
        <w:widowControl w:val="0"/>
        <w:numPr>
          <w:ilvl w:val="0"/>
          <w:numId w:val="13"/>
        </w:numPr>
        <w:tabs>
          <w:tab w:val="left" w:pos="1463"/>
        </w:tabs>
        <w:spacing w:line="292" w:lineRule="exact"/>
        <w:ind w:left="1120"/>
        <w:jc w:val="both"/>
        <w:rPr>
          <w:color w:val="000000"/>
          <w:lang w:bidi="bg-BG"/>
        </w:rPr>
      </w:pPr>
      <w:r w:rsidRPr="00207337">
        <w:rPr>
          <w:color w:val="000000"/>
          <w:lang w:bidi="bg-BG"/>
        </w:rPr>
        <w:t>срок на застрахователното покритие;</w:t>
      </w:r>
    </w:p>
    <w:p w14:paraId="5AD482C3" w14:textId="77777777" w:rsidR="00207337" w:rsidRPr="00207337" w:rsidRDefault="00207337" w:rsidP="00207337">
      <w:pPr>
        <w:widowControl w:val="0"/>
        <w:numPr>
          <w:ilvl w:val="0"/>
          <w:numId w:val="13"/>
        </w:numPr>
        <w:tabs>
          <w:tab w:val="left" w:pos="1463"/>
        </w:tabs>
        <w:spacing w:line="292" w:lineRule="exact"/>
        <w:ind w:left="1120"/>
        <w:jc w:val="both"/>
        <w:rPr>
          <w:color w:val="000000"/>
          <w:lang w:bidi="bg-BG"/>
        </w:rPr>
      </w:pPr>
      <w:r w:rsidRPr="00207337">
        <w:rPr>
          <w:color w:val="000000"/>
          <w:lang w:bidi="bg-BG"/>
        </w:rPr>
        <w:t>размер на застрахователната премия, като цяло и на разсрочено плащане;</w:t>
      </w:r>
    </w:p>
    <w:p w14:paraId="25A95A78" w14:textId="77777777" w:rsidR="00207337" w:rsidRPr="00207337" w:rsidRDefault="00207337" w:rsidP="00207337">
      <w:pPr>
        <w:widowControl w:val="0"/>
        <w:numPr>
          <w:ilvl w:val="0"/>
          <w:numId w:val="13"/>
        </w:numPr>
        <w:tabs>
          <w:tab w:val="left" w:pos="1463"/>
        </w:tabs>
        <w:spacing w:line="292" w:lineRule="exact"/>
        <w:ind w:left="1120"/>
        <w:jc w:val="both"/>
        <w:rPr>
          <w:color w:val="000000"/>
          <w:lang w:bidi="bg-BG"/>
        </w:rPr>
      </w:pPr>
      <w:r w:rsidRPr="00207337">
        <w:rPr>
          <w:color w:val="000000"/>
          <w:lang w:bidi="bg-BG"/>
        </w:rPr>
        <w:t>преференциални условия;</w:t>
      </w:r>
    </w:p>
    <w:p w14:paraId="6D006916" w14:textId="77777777" w:rsidR="00207337" w:rsidRPr="00207337" w:rsidRDefault="00207337" w:rsidP="00207337">
      <w:pPr>
        <w:widowControl w:val="0"/>
        <w:numPr>
          <w:ilvl w:val="0"/>
          <w:numId w:val="13"/>
        </w:numPr>
        <w:tabs>
          <w:tab w:val="left" w:pos="1463"/>
        </w:tabs>
        <w:spacing w:line="292" w:lineRule="exact"/>
        <w:ind w:left="1120"/>
        <w:jc w:val="both"/>
        <w:rPr>
          <w:color w:val="000000"/>
          <w:lang w:bidi="bg-BG"/>
        </w:rPr>
      </w:pPr>
      <w:r w:rsidRPr="00207337">
        <w:rPr>
          <w:color w:val="000000"/>
          <w:lang w:bidi="bg-BG"/>
        </w:rPr>
        <w:lastRenderedPageBreak/>
        <w:t>валидност на офертата;</w:t>
      </w:r>
    </w:p>
    <w:p w14:paraId="43CC5360" w14:textId="1A0DAE3D" w:rsidR="00207337" w:rsidRPr="00207337" w:rsidRDefault="00207337" w:rsidP="00207337">
      <w:pPr>
        <w:widowControl w:val="0"/>
        <w:numPr>
          <w:ilvl w:val="0"/>
          <w:numId w:val="13"/>
        </w:numPr>
        <w:tabs>
          <w:tab w:val="left" w:pos="1463"/>
        </w:tabs>
        <w:spacing w:after="75" w:line="292" w:lineRule="exact"/>
        <w:ind w:left="1120"/>
        <w:jc w:val="both"/>
        <w:rPr>
          <w:color w:val="000000"/>
          <w:lang w:bidi="bg-BG"/>
        </w:rPr>
      </w:pPr>
      <w:r w:rsidRPr="00207337">
        <w:rPr>
          <w:color w:val="000000"/>
          <w:lang w:bidi="bg-BG"/>
        </w:rPr>
        <w:t xml:space="preserve">други обстоятелства по преценка на </w:t>
      </w:r>
      <w:r w:rsidR="000E2E28">
        <w:rPr>
          <w:color w:val="000000"/>
          <w:lang w:bidi="bg-BG"/>
        </w:rPr>
        <w:t>участника</w:t>
      </w:r>
      <w:r w:rsidRPr="00207337">
        <w:rPr>
          <w:color w:val="000000"/>
          <w:lang w:bidi="bg-BG"/>
        </w:rPr>
        <w:t>;</w:t>
      </w:r>
    </w:p>
    <w:p w14:paraId="4C0C4D22" w14:textId="77777777" w:rsidR="00207337" w:rsidRDefault="00207337" w:rsidP="00B46FD6">
      <w:pPr>
        <w:ind w:firstLine="567"/>
        <w:jc w:val="both"/>
        <w:rPr>
          <w:lang w:eastAsia="en-US"/>
        </w:rPr>
      </w:pPr>
    </w:p>
    <w:p w14:paraId="642415C3" w14:textId="77777777" w:rsidR="00776B0B" w:rsidRDefault="00776B0B" w:rsidP="003E24AF">
      <w:pPr>
        <w:ind w:firstLine="567"/>
        <w:jc w:val="both"/>
        <w:rPr>
          <w:lang w:eastAsia="en-US"/>
        </w:rPr>
      </w:pP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3"/>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0E2E28"/>
    <w:rsid w:val="00131EE4"/>
    <w:rsid w:val="00132BDC"/>
    <w:rsid w:val="00133602"/>
    <w:rsid w:val="00134189"/>
    <w:rsid w:val="00137993"/>
    <w:rsid w:val="00143B94"/>
    <w:rsid w:val="00145056"/>
    <w:rsid w:val="00184280"/>
    <w:rsid w:val="0018693F"/>
    <w:rsid w:val="001B73CF"/>
    <w:rsid w:val="001E3DD3"/>
    <w:rsid w:val="00204966"/>
    <w:rsid w:val="00207337"/>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E2B6C"/>
    <w:rsid w:val="004E473A"/>
    <w:rsid w:val="004E7A1F"/>
    <w:rsid w:val="00556EE8"/>
    <w:rsid w:val="005658B3"/>
    <w:rsid w:val="00577B64"/>
    <w:rsid w:val="00577F1A"/>
    <w:rsid w:val="00596131"/>
    <w:rsid w:val="005C5E39"/>
    <w:rsid w:val="005F21FF"/>
    <w:rsid w:val="00603144"/>
    <w:rsid w:val="00607279"/>
    <w:rsid w:val="006226A4"/>
    <w:rsid w:val="006715F5"/>
    <w:rsid w:val="006C1B92"/>
    <w:rsid w:val="006E48D8"/>
    <w:rsid w:val="0070656A"/>
    <w:rsid w:val="00710E07"/>
    <w:rsid w:val="00776B0B"/>
    <w:rsid w:val="0078663A"/>
    <w:rsid w:val="00787574"/>
    <w:rsid w:val="007A6672"/>
    <w:rsid w:val="00802992"/>
    <w:rsid w:val="00917202"/>
    <w:rsid w:val="009216BE"/>
    <w:rsid w:val="00924C74"/>
    <w:rsid w:val="00954284"/>
    <w:rsid w:val="00965A3D"/>
    <w:rsid w:val="00975EDC"/>
    <w:rsid w:val="00986E4A"/>
    <w:rsid w:val="00A24F8A"/>
    <w:rsid w:val="00A472AD"/>
    <w:rsid w:val="00A86DBC"/>
    <w:rsid w:val="00A9049D"/>
    <w:rsid w:val="00AD0E7F"/>
    <w:rsid w:val="00AE4306"/>
    <w:rsid w:val="00B278D0"/>
    <w:rsid w:val="00B33440"/>
    <w:rsid w:val="00B340B2"/>
    <w:rsid w:val="00B35B79"/>
    <w:rsid w:val="00B46FD6"/>
    <w:rsid w:val="00B66487"/>
    <w:rsid w:val="00BC7D7F"/>
    <w:rsid w:val="00BF475E"/>
    <w:rsid w:val="00C17021"/>
    <w:rsid w:val="00C34DC5"/>
    <w:rsid w:val="00C36FD9"/>
    <w:rsid w:val="00C40362"/>
    <w:rsid w:val="00CC1B8F"/>
    <w:rsid w:val="00D305C2"/>
    <w:rsid w:val="00DB28F2"/>
    <w:rsid w:val="00DE1707"/>
    <w:rsid w:val="00DF23CE"/>
    <w:rsid w:val="00E13107"/>
    <w:rsid w:val="00E14F48"/>
    <w:rsid w:val="00E35339"/>
    <w:rsid w:val="00E375C6"/>
    <w:rsid w:val="00E86C56"/>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256</Words>
  <Characters>1464</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35</cp:revision>
  <cp:lastPrinted>2020-06-24T14:25:00Z</cp:lastPrinted>
  <dcterms:created xsi:type="dcterms:W3CDTF">2021-02-08T09:52:00Z</dcterms:created>
  <dcterms:modified xsi:type="dcterms:W3CDTF">2022-09-13T09:46:00Z</dcterms:modified>
</cp:coreProperties>
</file>